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560" w:right="1701" w:firstLine="141"/>
        <w:jc w:val="center"/>
        <w:widowControl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Памятка по открытию </w:t>
      </w:r>
      <w:r>
        <w:rPr>
          <w:b/>
          <w:bCs/>
          <w:sz w:val="28"/>
          <w:szCs w:val="28"/>
        </w:rPr>
        <w:t xml:space="preserve">лицево</w:t>
      </w:r>
      <w:r>
        <w:rPr>
          <w:b/>
          <w:bCs/>
          <w:sz w:val="28"/>
          <w:szCs w:val="28"/>
        </w:rPr>
        <w:t xml:space="preserve">го</w:t>
      </w:r>
      <w:r>
        <w:rPr>
          <w:b/>
          <w:bCs/>
          <w:sz w:val="28"/>
          <w:szCs w:val="28"/>
        </w:rPr>
        <w:t xml:space="preserve"> счета для учета операций получателя средств из бюджета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(</w:t>
      </w:r>
      <w:r>
        <w:rPr>
          <w:b/>
          <w:sz w:val="28"/>
          <w:szCs w:val="28"/>
        </w:rPr>
        <w:t xml:space="preserve">с кодом 41</w:t>
      </w:r>
      <w:r>
        <w:rPr>
          <w:b/>
          <w:sz w:val="28"/>
          <w:szCs w:val="28"/>
        </w:rPr>
        <w:t xml:space="preserve">)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В связи с принятием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 xml:space="preserve">28</w:t>
      </w:r>
      <w:r>
        <w:rPr>
          <w:sz w:val="28"/>
          <w:szCs w:val="28"/>
        </w:rPr>
        <w:t xml:space="preserve">.11.202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431</w:t>
      </w:r>
      <w:r>
        <w:rPr>
          <w:sz w:val="28"/>
          <w:szCs w:val="28"/>
        </w:rPr>
        <w:t xml:space="preserve">-ФЗ «О внесении изменений в </w:t>
      </w:r>
      <w:r>
        <w:rPr>
          <w:sz w:val="28"/>
          <w:szCs w:val="28"/>
        </w:rPr>
        <w:t xml:space="preserve">отдельные </w:t>
      </w:r>
      <w:r>
        <w:rPr>
          <w:sz w:val="28"/>
          <w:szCs w:val="28"/>
        </w:rPr>
        <w:t xml:space="preserve">законодательные акты Российской Федерации, приостановлении действия отдельных положений </w:t>
      </w:r>
      <w:r>
        <w:rPr>
          <w:sz w:val="28"/>
          <w:szCs w:val="28"/>
        </w:rPr>
        <w:t xml:space="preserve">законодательных актов </w:t>
      </w:r>
      <w:r>
        <w:rPr>
          <w:sz w:val="28"/>
          <w:szCs w:val="28"/>
        </w:rPr>
        <w:t xml:space="preserve">Российской Федерации и об установлении особенностей исполнения бюджетов бюджетной системы Российской Федерации в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году»</w:t>
      </w:r>
      <w:r>
        <w:rPr>
          <w:sz w:val="28"/>
          <w:szCs w:val="28"/>
        </w:rPr>
        <w:t xml:space="preserve"> (далее 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Федеральный з</w:t>
      </w:r>
      <w:r>
        <w:rPr>
          <w:sz w:val="28"/>
          <w:szCs w:val="28"/>
        </w:rPr>
        <w:t xml:space="preserve">акон </w:t>
      </w:r>
      <w:r>
        <w:rPr>
          <w:sz w:val="28"/>
          <w:szCs w:val="28"/>
        </w:rPr>
        <w:t xml:space="preserve">431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ФЗ)</w:t>
      </w:r>
      <w:r>
        <w:rPr>
          <w:sz w:val="28"/>
          <w:szCs w:val="28"/>
        </w:rPr>
        <w:t xml:space="preserve"> Управление Федерального казначейства по Тюменской области (далее – Управление) сообщает следующее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операции со средствами</w:t>
      </w:r>
      <w:r>
        <w:rPr>
          <w:sz w:val="28"/>
          <w:szCs w:val="28"/>
        </w:rPr>
        <w:t xml:space="preserve">, источниками которых являются доходы от деятельности федеральных унитарных и казенных предприятий</w:t>
      </w:r>
      <w:r>
        <w:rPr>
          <w:sz w:val="28"/>
          <w:szCs w:val="28"/>
        </w:rPr>
        <w:t xml:space="preserve"> (далее – унитарные предприятия)</w:t>
      </w:r>
      <w:r>
        <w:rPr>
          <w:sz w:val="28"/>
          <w:szCs w:val="28"/>
        </w:rPr>
        <w:t xml:space="preserve">, иные источники, не противоречащие законодательству, полу</w:t>
      </w:r>
      <w:r>
        <w:rPr>
          <w:sz w:val="28"/>
          <w:szCs w:val="28"/>
        </w:rPr>
        <w:t xml:space="preserve">чаемые унитарными предприятиями осуществляются в </w:t>
      </w:r>
      <w:r>
        <w:rPr>
          <w:sz w:val="28"/>
          <w:szCs w:val="28"/>
        </w:rPr>
        <w:t xml:space="preserve">соответствии с </w:t>
      </w:r>
      <w:r>
        <w:rPr>
          <w:sz w:val="28"/>
          <w:szCs w:val="28"/>
        </w:rPr>
        <w:t xml:space="preserve">частью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 xml:space="preserve">14</w:t>
      </w:r>
      <w:r>
        <w:rPr>
          <w:sz w:val="28"/>
          <w:szCs w:val="28"/>
        </w:rPr>
        <w:t xml:space="preserve"> Закона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431</w:t>
      </w:r>
      <w:r>
        <w:rPr>
          <w:sz w:val="28"/>
          <w:szCs w:val="28"/>
        </w:rPr>
        <w:t xml:space="preserve">-ФЗ, </w:t>
      </w:r>
      <w:r>
        <w:rPr>
          <w:sz w:val="28"/>
          <w:szCs w:val="28"/>
        </w:rPr>
        <w:t xml:space="preserve">на казначейских счетах для осу</w:t>
      </w:r>
      <w:r>
        <w:rPr>
          <w:sz w:val="28"/>
          <w:szCs w:val="28"/>
        </w:rPr>
        <w:t xml:space="preserve">ществления и отражения операций с денежными средствами получателей средств из бюджета и отражаются на соответствующих лицевых счетах для учета операций получателя средств из бюджета (далее лицевые счета с кодом «41») открытых в ТОФК согласно Порядку №21н.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заключении</w:t>
      </w:r>
      <w:r>
        <w:rPr>
          <w:sz w:val="28"/>
          <w:szCs w:val="28"/>
        </w:rPr>
        <w:t xml:space="preserve"> соглашений </w:t>
      </w:r>
      <w:r>
        <w:rPr>
          <w:sz w:val="28"/>
          <w:szCs w:val="28"/>
        </w:rPr>
        <w:t xml:space="preserve">о предоставлении субсидий (грантов в форме субсидий) Управление рекомендует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обратиться в адрес 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лавного распорядителя бюджетных средств, предоставляющ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субсидии из федерального бюджета,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включения </w:t>
      </w:r>
      <w:r>
        <w:rPr>
          <w:sz w:val="28"/>
          <w:szCs w:val="28"/>
        </w:rPr>
        <w:t xml:space="preserve">информации об организации в реестр участников бюджетного процесса, а также юридических лиц, не являющихся участниками бюджетного процесса</w:t>
      </w:r>
      <w:r>
        <w:rPr>
          <w:sz w:val="28"/>
          <w:szCs w:val="28"/>
        </w:rPr>
        <w:t xml:space="preserve"> (далее – Сводный реестр)</w:t>
      </w:r>
      <w:r>
        <w:rPr>
          <w:sz w:val="28"/>
          <w:szCs w:val="28"/>
        </w:rPr>
        <w:t xml:space="preserve"> в соответствии с Порядком формирования и ведения реестра участников бюджетного процесса, а также юридических лиц, не являющихся участниками бюджетного процесса, утвержденн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приказом Минфина России от 23.12.2014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163н.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исьмом Федерального казначейства от </w:t>
      </w:r>
      <w:r>
        <w:rPr>
          <w:sz w:val="28"/>
          <w:szCs w:val="28"/>
        </w:rPr>
        <w:t xml:space="preserve">02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№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07-04-05/03-</w:t>
      </w:r>
      <w:r>
        <w:rPr>
          <w:sz w:val="28"/>
          <w:szCs w:val="28"/>
        </w:rPr>
        <w:t xml:space="preserve">2410</w:t>
      </w:r>
      <w:r>
        <w:rPr>
          <w:sz w:val="28"/>
          <w:szCs w:val="28"/>
        </w:rPr>
        <w:t xml:space="preserve"> «О </w:t>
      </w:r>
      <w:r>
        <w:rPr>
          <w:sz w:val="28"/>
          <w:szCs w:val="28"/>
        </w:rPr>
        <w:t xml:space="preserve">направлении Методических материалов</w:t>
      </w:r>
      <w:r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 xml:space="preserve">функции Управлени</w:t>
      </w:r>
      <w:r>
        <w:rPr>
          <w:color w:val="000000"/>
          <w:sz w:val="28"/>
          <w:szCs w:val="28"/>
        </w:rPr>
        <w:t xml:space="preserve">я</w:t>
      </w:r>
      <w:r>
        <w:rPr>
          <w:color w:val="000000"/>
          <w:sz w:val="28"/>
          <w:szCs w:val="28"/>
        </w:rPr>
        <w:t xml:space="preserve"> по открытию и ведению </w:t>
      </w:r>
      <w:r>
        <w:rPr>
          <w:color w:val="000000"/>
          <w:sz w:val="28"/>
          <w:szCs w:val="28"/>
        </w:rPr>
        <w:t xml:space="preserve">л</w:t>
      </w:r>
      <w:r>
        <w:rPr>
          <w:color w:val="000000"/>
          <w:sz w:val="28"/>
          <w:szCs w:val="28"/>
        </w:rPr>
        <w:t xml:space="preserve">ицевых счетов для учета операций получателя средств из </w:t>
      </w:r>
      <w:r>
        <w:rPr>
          <w:color w:val="000000"/>
          <w:sz w:val="28"/>
          <w:szCs w:val="28"/>
        </w:rPr>
        <w:t xml:space="preserve">федерального </w:t>
      </w:r>
      <w:r>
        <w:rPr>
          <w:color w:val="000000"/>
          <w:sz w:val="28"/>
          <w:szCs w:val="28"/>
        </w:rPr>
        <w:t xml:space="preserve">бюджета с кодом «41» </w:t>
      </w:r>
      <w:r>
        <w:rPr>
          <w:color w:val="000000"/>
          <w:sz w:val="28"/>
          <w:szCs w:val="28"/>
        </w:rPr>
        <w:t xml:space="preserve">(далее – Лицевой счет) </w:t>
      </w:r>
      <w:r>
        <w:rPr>
          <w:color w:val="000000"/>
          <w:sz w:val="28"/>
          <w:szCs w:val="28"/>
        </w:rPr>
        <w:t xml:space="preserve">переданы на уровень </w:t>
      </w:r>
      <w:r>
        <w:rPr>
          <w:color w:val="000000"/>
          <w:sz w:val="28"/>
          <w:szCs w:val="28"/>
          <w:u w:val="single"/>
        </w:rPr>
        <w:t xml:space="preserve">Управления Федерального казначейства по Новосибирской области</w:t>
      </w:r>
      <w:r>
        <w:rPr>
          <w:color w:val="000000"/>
          <w:sz w:val="28"/>
          <w:szCs w:val="28"/>
        </w:rPr>
        <w:t xml:space="preserve"> (далее – Центр специализации)</w:t>
      </w:r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изложенным, </w:t>
      </w:r>
      <w:r>
        <w:rPr>
          <w:color w:val="000000"/>
          <w:sz w:val="28"/>
          <w:szCs w:val="28"/>
        </w:rPr>
        <w:t xml:space="preserve">открытие Л</w:t>
      </w:r>
      <w:r>
        <w:rPr>
          <w:sz w:val="28"/>
          <w:szCs w:val="28"/>
        </w:rPr>
        <w:t xml:space="preserve">ицевого счета</w:t>
      </w:r>
      <w:r>
        <w:rPr>
          <w:color w:val="000000"/>
          <w:sz w:val="28"/>
          <w:szCs w:val="28"/>
        </w:rPr>
        <w:t xml:space="preserve"> осуществляется в следующем порядке: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</w:t>
      </w:r>
      <w:r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осле включения организации </w:t>
      </w:r>
      <w:r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Сводный реестр, д</w:t>
      </w:r>
      <w:r>
        <w:rPr>
          <w:color w:val="000000"/>
          <w:sz w:val="28"/>
          <w:szCs w:val="28"/>
        </w:rPr>
        <w:t xml:space="preserve">ля работы в личном кабинете, сотрудники </w:t>
      </w:r>
      <w:r>
        <w:rPr>
          <w:color w:val="000000"/>
          <w:sz w:val="28"/>
          <w:szCs w:val="28"/>
        </w:rPr>
        <w:t xml:space="preserve">п</w:t>
      </w:r>
      <w:r>
        <w:rPr>
          <w:sz w:val="28"/>
          <w:szCs w:val="28"/>
        </w:rPr>
        <w:t xml:space="preserve">олучателя средств из бюджета</w:t>
      </w:r>
      <w:r>
        <w:rPr>
          <w:color w:val="000000"/>
          <w:sz w:val="28"/>
          <w:szCs w:val="28"/>
        </w:rPr>
        <w:t xml:space="preserve"> настраива</w:t>
      </w:r>
      <w:r>
        <w:rPr>
          <w:color w:val="000000"/>
          <w:sz w:val="28"/>
          <w:szCs w:val="28"/>
        </w:rPr>
        <w:t xml:space="preserve">ют рабочее место пользователя в ПУР КС </w:t>
      </w:r>
      <w:r>
        <w:rPr>
          <w:color w:val="000000"/>
          <w:sz w:val="28"/>
          <w:szCs w:val="28"/>
        </w:rPr>
        <w:t xml:space="preserve">ГИИС «Электронный бюджет» в соответствии с</w:t>
      </w:r>
      <w:r>
        <w:rPr>
          <w:color w:val="000000"/>
          <w:sz w:val="28"/>
          <w:szCs w:val="28"/>
        </w:rPr>
        <w:t xml:space="preserve"> рекомендациями</w:t>
      </w:r>
      <w:r>
        <w:rPr>
          <w:sz w:val="28"/>
          <w:szCs w:val="28"/>
        </w:rPr>
        <w:t xml:space="preserve">, размещенными на сайте Федерального казначейства.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 отсутствии действующего квалифицированного сертификата электронной подписи физического лица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сотрудники </w:t>
      </w:r>
      <w:r>
        <w:rPr>
          <w:color w:val="000000"/>
          <w:sz w:val="28"/>
          <w:szCs w:val="28"/>
        </w:rPr>
        <w:t xml:space="preserve">п</w:t>
      </w:r>
      <w:r>
        <w:rPr>
          <w:sz w:val="28"/>
          <w:szCs w:val="28"/>
        </w:rPr>
        <w:t xml:space="preserve">олучателя средств из бюджета </w:t>
      </w:r>
      <w:r>
        <w:rPr>
          <w:color w:val="000000"/>
          <w:sz w:val="28"/>
          <w:szCs w:val="28"/>
        </w:rPr>
        <w:t xml:space="preserve">осуществляют мероприятия по его получению в аккредитованном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Минкомсвязью</w:t>
      </w:r>
      <w:r>
        <w:rPr>
          <w:color w:val="000000"/>
          <w:sz w:val="28"/>
          <w:szCs w:val="28"/>
        </w:rPr>
        <w:t xml:space="preserve"> России удостоверяюще</w:t>
      </w:r>
      <w:r>
        <w:rPr>
          <w:color w:val="000000"/>
          <w:sz w:val="28"/>
          <w:szCs w:val="28"/>
        </w:rPr>
        <w:t xml:space="preserve">м центр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– сертификат ЭП)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 наличии действующего сертификата ЭП </w:t>
      </w:r>
      <w:r>
        <w:rPr>
          <w:color w:val="000000"/>
          <w:sz w:val="28"/>
          <w:szCs w:val="28"/>
        </w:rPr>
        <w:t xml:space="preserve">сотрудники </w:t>
      </w:r>
      <w:r>
        <w:rPr>
          <w:color w:val="000000"/>
          <w:sz w:val="28"/>
          <w:szCs w:val="28"/>
        </w:rPr>
        <w:t xml:space="preserve">п</w:t>
      </w:r>
      <w:r>
        <w:rPr>
          <w:sz w:val="28"/>
          <w:szCs w:val="28"/>
        </w:rPr>
        <w:t xml:space="preserve">олучателя средств из бюджета </w:t>
      </w:r>
      <w:r>
        <w:rPr>
          <w:color w:val="000000"/>
          <w:sz w:val="28"/>
          <w:szCs w:val="28"/>
        </w:rPr>
        <w:t xml:space="preserve">настраива</w:t>
      </w:r>
      <w:r>
        <w:rPr>
          <w:color w:val="000000"/>
          <w:sz w:val="28"/>
          <w:szCs w:val="28"/>
        </w:rPr>
        <w:t xml:space="preserve">ют</w:t>
      </w:r>
      <w:r>
        <w:rPr>
          <w:color w:val="000000"/>
          <w:sz w:val="28"/>
          <w:szCs w:val="28"/>
        </w:rPr>
        <w:t xml:space="preserve"> роли </w:t>
      </w:r>
      <w:r>
        <w:rPr>
          <w:color w:val="000000"/>
          <w:sz w:val="28"/>
          <w:szCs w:val="28"/>
        </w:rPr>
        <w:t xml:space="preserve">доступа в соответствии с полномочиями, назначенными посредством выдачи </w:t>
      </w:r>
      <w:r>
        <w:rPr>
          <w:color w:val="000000"/>
          <w:sz w:val="28"/>
          <w:szCs w:val="28"/>
        </w:rPr>
        <w:t xml:space="preserve">доверенности в электронной форме в машиночитаемом виде (МЧД) </w:t>
      </w:r>
      <w:r>
        <w:rPr>
          <w:color w:val="000000"/>
          <w:sz w:val="28"/>
          <w:szCs w:val="28"/>
        </w:rPr>
        <w:t xml:space="preserve">для работы в г</w:t>
      </w:r>
      <w:r>
        <w:rPr>
          <w:color w:val="000000"/>
          <w:sz w:val="28"/>
          <w:szCs w:val="28"/>
        </w:rPr>
        <w:t xml:space="preserve">осударственн</w:t>
      </w:r>
      <w:r>
        <w:rPr>
          <w:color w:val="000000"/>
          <w:sz w:val="28"/>
          <w:szCs w:val="28"/>
        </w:rPr>
        <w:t xml:space="preserve">ой</w:t>
      </w:r>
      <w:r>
        <w:rPr>
          <w:color w:val="000000"/>
          <w:sz w:val="28"/>
          <w:szCs w:val="28"/>
        </w:rPr>
        <w:t xml:space="preserve"> интегрированн</w:t>
      </w:r>
      <w:r>
        <w:rPr>
          <w:color w:val="000000"/>
          <w:sz w:val="28"/>
          <w:szCs w:val="28"/>
        </w:rPr>
        <w:t xml:space="preserve">ой</w:t>
      </w:r>
      <w:r>
        <w:rPr>
          <w:color w:val="000000"/>
          <w:sz w:val="28"/>
          <w:szCs w:val="28"/>
        </w:rPr>
        <w:t xml:space="preserve"> информационн</w:t>
      </w:r>
      <w:r>
        <w:rPr>
          <w:color w:val="000000"/>
          <w:sz w:val="28"/>
          <w:szCs w:val="28"/>
        </w:rPr>
        <w:t xml:space="preserve">ой</w:t>
      </w:r>
      <w:r>
        <w:rPr>
          <w:color w:val="000000"/>
          <w:sz w:val="28"/>
          <w:szCs w:val="28"/>
        </w:rPr>
        <w:t xml:space="preserve"> систем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 «Электронный бюджет»</w:t>
      </w:r>
      <w:r>
        <w:rPr>
          <w:color w:val="000000"/>
          <w:sz w:val="28"/>
          <w:szCs w:val="28"/>
        </w:rPr>
        <w:t xml:space="preserve"> (далее – ГИИС </w:t>
      </w:r>
      <w:r>
        <w:rPr>
          <w:color w:val="000000"/>
          <w:sz w:val="28"/>
          <w:szCs w:val="28"/>
        </w:rPr>
        <w:t xml:space="preserve">«Электронный бюджет») в </w:t>
      </w:r>
      <w:r>
        <w:rPr>
          <w:color w:val="000000"/>
          <w:sz w:val="28"/>
          <w:szCs w:val="28"/>
        </w:rPr>
        <w:t xml:space="preserve">Подсистеме обеспечения информационной безопасности Системы обеспечения безопасности информации Федерального казначейства (далее – ПОИБ СОБИ ФК). </w:t>
      </w:r>
      <w:r>
        <w:rPr>
          <w:color w:val="000000"/>
          <w:sz w:val="28"/>
          <w:szCs w:val="28"/>
        </w:rPr>
        <w:t xml:space="preserve">Инструкции</w:t>
      </w:r>
      <w:r>
        <w:rPr>
          <w:color w:val="000000"/>
          <w:sz w:val="28"/>
          <w:szCs w:val="28"/>
        </w:rPr>
        <w:t xml:space="preserve"> для работы в ПОИБ СОБИ ФК размещены на официальном сайте Федерального казначейства</w:t>
      </w:r>
      <w:r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 xml:space="preserve">roskazna.gov.ru</w:t>
      </w:r>
      <w:r>
        <w:rPr>
          <w:color w:val="000000"/>
          <w:sz w:val="28"/>
          <w:szCs w:val="28"/>
        </w:rPr>
        <w:t xml:space="preserve">) в разделе: Клиентам ФК/ Электронный бюджет/ Подключение к системе.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Для открытия </w:t>
      </w:r>
      <w:r>
        <w:rPr>
          <w:color w:val="000000"/>
          <w:sz w:val="28"/>
          <w:szCs w:val="28"/>
        </w:rPr>
        <w:t xml:space="preserve">Л</w:t>
      </w:r>
      <w:r>
        <w:rPr>
          <w:color w:val="000000"/>
          <w:sz w:val="28"/>
          <w:szCs w:val="28"/>
        </w:rPr>
        <w:t xml:space="preserve">ицевого счета уполномоченные сотрудники </w:t>
      </w:r>
      <w:r>
        <w:rPr>
          <w:color w:val="000000"/>
          <w:sz w:val="28"/>
          <w:szCs w:val="28"/>
        </w:rPr>
        <w:t xml:space="preserve">п</w:t>
      </w:r>
      <w:r>
        <w:rPr>
          <w:sz w:val="28"/>
          <w:szCs w:val="28"/>
        </w:rPr>
        <w:t xml:space="preserve">олучателя средств из бюджета</w:t>
      </w:r>
      <w:r>
        <w:rPr>
          <w:color w:val="000000"/>
          <w:sz w:val="28"/>
          <w:szCs w:val="28"/>
        </w:rPr>
        <w:t xml:space="preserve"> формируют в ГИИС «Электронный бюджет» </w:t>
      </w:r>
      <w:r>
        <w:rPr>
          <w:color w:val="000000"/>
          <w:sz w:val="28"/>
          <w:szCs w:val="28"/>
        </w:rPr>
        <w:t xml:space="preserve">Заяв</w:t>
      </w:r>
      <w:r>
        <w:rPr>
          <w:color w:val="000000"/>
          <w:sz w:val="28"/>
          <w:szCs w:val="28"/>
        </w:rPr>
        <w:t xml:space="preserve">ку</w:t>
      </w:r>
      <w:r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 xml:space="preserve">изменение книги регистрации лицевых счетов (Заявление н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открытие лицевого счета</w:t>
      </w:r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 типом «Открытие» в электронном виде.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/>
      <w:hyperlink r:id="rId13" w:tooltip="https://tumen.roskazna.gov.ru/uploads/%D0%94%D0%BE%D0%BA%D1%83%D0%BC%D0%B5%D0%BD%D1%82%D1%8B/Prezentacia_po_otkrytiyu_litsevogo_scheta_41_FB_272_02_07_2024_ver1_.pptx" w:history="1">
        <w:r>
          <w:rPr>
            <w:rStyle w:val="904"/>
            <w:b/>
            <w:i/>
            <w:sz w:val="28"/>
            <w:szCs w:val="28"/>
          </w:rPr>
          <w:t xml:space="preserve">Презентацию по открытию лицевого получателей средств из бюджета в ГИИС «Электронный бюджет»</w:t>
        </w:r>
      </w:hyperlink>
      <w:r>
        <w:rPr>
          <w:color w:val="000000"/>
          <w:sz w:val="28"/>
          <w:szCs w:val="28"/>
        </w:rPr>
        <w:t xml:space="preserve"> можно посмотреть здесь.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center"/>
        <w:spacing w:before="120"/>
        <w:rPr>
          <w:b/>
          <w:sz w:val="28"/>
          <w:szCs w:val="28"/>
        </w:rPr>
      </w:pPr>
      <w:r/>
      <w:bookmarkStart w:id="0" w:name="Par0"/>
      <w:r/>
      <w:bookmarkEnd w:id="0"/>
      <w:r>
        <w:rPr>
          <w:b/>
          <w:sz w:val="28"/>
          <w:szCs w:val="28"/>
        </w:rPr>
        <w:t xml:space="preserve">Внимание!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Обязательным условием </w:t>
      </w:r>
      <w:r>
        <w:rPr>
          <w:sz w:val="28"/>
          <w:szCs w:val="28"/>
        </w:rPr>
        <w:t xml:space="preserve">открытия Лицевого счета</w:t>
      </w:r>
      <w:r>
        <w:rPr>
          <w:sz w:val="28"/>
          <w:szCs w:val="28"/>
        </w:rPr>
        <w:t xml:space="preserve">, является </w:t>
      </w:r>
      <w:r>
        <w:rPr>
          <w:b/>
          <w:i/>
          <w:sz w:val="28"/>
          <w:szCs w:val="28"/>
        </w:rPr>
        <w:t xml:space="preserve">включение получателя средств из бюджета в Сводный реестр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Документооборот при открытии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ицевого счета между Центром специализации 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олучателем средств из 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осуществляется в ГИИС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«Электронный бюджет».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Заявка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изменение справочника «Книга регистрации лицевых счетов» с типом «Открытие»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ГИИС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«Электронный бюджет» </w:t>
      </w:r>
      <w:r>
        <w:rPr>
          <w:rFonts w:ascii="Times New Roman" w:hAnsi="Times New Roman" w:cs="Times New Roman"/>
          <w:sz w:val="28"/>
          <w:szCs w:val="28"/>
        </w:rPr>
        <w:t xml:space="preserve">формирует</w:t>
      </w:r>
      <w:r>
        <w:rPr>
          <w:rFonts w:ascii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указанием соответствующего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кода ТОФК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Центра специализации (5100)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6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Методические рекомендации по открытию</w:t>
      </w:r>
      <w:r>
        <w:rPr>
          <w:rFonts w:ascii="Times New Roman" w:hAnsi="Times New Roman" w:cs="Times New Roman"/>
          <w:sz w:val="28"/>
          <w:szCs w:val="28"/>
        </w:rPr>
        <w:t xml:space="preserve">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</w:t>
      </w:r>
      <w:r>
        <w:rPr>
          <w:rFonts w:ascii="Times New Roman" w:hAnsi="Times New Roman" w:cs="Times New Roman"/>
          <w:sz w:val="28"/>
          <w:szCs w:val="28"/>
        </w:rPr>
        <w:t xml:space="preserve"> размещены </w:t>
      </w:r>
      <w:r>
        <w:rPr>
          <w:rFonts w:ascii="Times New Roman" w:hAnsi="Times New Roman" w:cs="Times New Roman"/>
          <w:sz w:val="28"/>
          <w:szCs w:val="28"/>
        </w:rPr>
        <w:t xml:space="preserve">на сайте УФК по Тюменской области (</w:t>
      </w:r>
      <w:hyperlink r:id="rId14" w:tooltip="http://roskazna.gov.ru" w:history="1">
        <w:r>
          <w:rPr>
            <w:rStyle w:val="904"/>
            <w:rFonts w:ascii="Times New Roman" w:hAnsi="Times New Roman" w:cs="Times New Roman"/>
            <w:sz w:val="28"/>
            <w:szCs w:val="28"/>
            <w:lang w:val="en-US"/>
          </w:rPr>
          <w:t xml:space="preserve">http</w:t>
        </w:r>
        <w:r>
          <w:rPr>
            <w:rStyle w:val="904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904"/>
            <w:rFonts w:ascii="Times New Roman" w:hAnsi="Times New Roman" w:cs="Times New Roman"/>
            <w:sz w:val="28"/>
            <w:szCs w:val="28"/>
            <w:lang w:val="en-US"/>
          </w:rPr>
          <w:t xml:space="preserve">roskazna</w:t>
        </w:r>
        <w:r>
          <w:rPr>
            <w:rStyle w:val="904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904"/>
            <w:rFonts w:ascii="Times New Roman" w:hAnsi="Times New Roman" w:cs="Times New Roman"/>
            <w:sz w:val="28"/>
            <w:szCs w:val="28"/>
            <w:lang w:val="en-US"/>
          </w:rPr>
          <w:t xml:space="preserve">gov</w:t>
        </w:r>
        <w:r>
          <w:rPr>
            <w:rStyle w:val="904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904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в разделе: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Документы</w:t>
      </w:r>
      <w:r>
        <w:rPr>
          <w:rFonts w:ascii="Times New Roman" w:hAnsi="Times New Roman" w:cs="Times New Roman"/>
          <w:sz w:val="28"/>
          <w:szCs w:val="28"/>
        </w:rPr>
        <w:t xml:space="preserve"> -Открытие и ведение лицевых счетов - Открытие и ведение лицевых счетов с кодом 41.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5.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вопросам открытия Л</w:t>
      </w:r>
      <w:r>
        <w:rPr>
          <w:sz w:val="28"/>
          <w:szCs w:val="28"/>
        </w:rPr>
        <w:t xml:space="preserve">ицевого счета следует обращаться в Центр специализации</w:t>
      </w:r>
      <w:bookmarkStart w:id="1" w:name="_GoBack"/>
      <w:r/>
      <w:bookmarkEnd w:id="1"/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При возникновении дополнительных вопросов можно обратиться в отдел ведения федеральных реестров Управления по телефонам (3452) 590-149, 590-003, 590-069, 590-059. 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7" w:h="16840" w:orient="portrait"/>
      <w:pgMar w:top="1134" w:right="567" w:bottom="1134" w:left="1134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 Narrow">
    <w:panose1 w:val="020B0604020202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</w:pPr>
    <w:r/>
    <w:r/>
  </w:p>
  <w:p>
    <w:pPr>
      <w:pStyle w:val="89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068637148"/>
      <w:docPartObj>
        <w:docPartGallery w:val="Page Numbers (Top of Page)"/>
        <w:docPartUnique w:val="true"/>
      </w:docPartObj>
      <w:rPr/>
    </w:sdtPr>
    <w:sdtContent>
      <w:p>
        <w:pPr>
          <w:pStyle w:val="89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9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rPr>
        <w:rStyle w:val="899"/>
      </w:rPr>
      <w:framePr w:wrap="around" w:vAnchor="text" w:hAnchor="margin" w:xAlign="center" w:y="1"/>
    </w:pPr>
    <w:r>
      <w:rPr>
        <w:rStyle w:val="899"/>
      </w:rPr>
      <w:fldChar w:fldCharType="begin"/>
    </w:r>
    <w:r>
      <w:rPr>
        <w:rStyle w:val="899"/>
      </w:rPr>
      <w:instrText xml:space="preserve">PAGE  </w:instrText>
    </w:r>
    <w:r>
      <w:rPr>
        <w:rStyle w:val="899"/>
      </w:rPr>
      <w:fldChar w:fldCharType="separate"/>
    </w:r>
    <w:r>
      <w:rPr>
        <w:rStyle w:val="899"/>
      </w:rPr>
      <w:t xml:space="preserve">2</w:t>
    </w:r>
    <w:r>
      <w:rPr>
        <w:rStyle w:val="899"/>
      </w:rPr>
      <w:fldChar w:fldCharType="end"/>
    </w:r>
    <w:r>
      <w:rPr>
        <w:rStyle w:val="899"/>
      </w:rPr>
    </w:r>
    <w:r>
      <w:rPr>
        <w:rStyle w:val="899"/>
      </w:rPr>
    </w:r>
  </w:p>
  <w:p>
    <w:pPr>
      <w:pStyle w:val="89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  <w:tabs>
          <w:tab w:val="num" w:pos="1065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  <w:tabs>
          <w:tab w:val="num" w:pos="178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  <w:tabs>
          <w:tab w:val="num" w:pos="250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  <w:tabs>
          <w:tab w:val="num" w:pos="322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  <w:tabs>
          <w:tab w:val="num" w:pos="394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  <w:tabs>
          <w:tab w:val="num" w:pos="466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  <w:tabs>
          <w:tab w:val="num" w:pos="538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  <w:tabs>
          <w:tab w:val="num" w:pos="610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  <w:tabs>
          <w:tab w:val="num" w:pos="6825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6">
    <w:name w:val="Heading 1 Char"/>
    <w:basedOn w:val="887"/>
    <w:link w:val="882"/>
    <w:uiPriority w:val="9"/>
    <w:rPr>
      <w:rFonts w:ascii="Arial" w:hAnsi="Arial" w:eastAsia="Arial" w:cs="Arial"/>
      <w:sz w:val="40"/>
      <w:szCs w:val="40"/>
    </w:rPr>
  </w:style>
  <w:style w:type="character" w:styleId="717">
    <w:name w:val="Heading 2 Char"/>
    <w:basedOn w:val="887"/>
    <w:link w:val="883"/>
    <w:uiPriority w:val="9"/>
    <w:rPr>
      <w:rFonts w:ascii="Arial" w:hAnsi="Arial" w:eastAsia="Arial" w:cs="Arial"/>
      <w:sz w:val="34"/>
    </w:rPr>
  </w:style>
  <w:style w:type="character" w:styleId="718">
    <w:name w:val="Heading 3 Char"/>
    <w:basedOn w:val="887"/>
    <w:link w:val="884"/>
    <w:uiPriority w:val="9"/>
    <w:rPr>
      <w:rFonts w:ascii="Arial" w:hAnsi="Arial" w:eastAsia="Arial" w:cs="Arial"/>
      <w:sz w:val="30"/>
      <w:szCs w:val="30"/>
    </w:rPr>
  </w:style>
  <w:style w:type="character" w:styleId="719">
    <w:name w:val="Heading 4 Char"/>
    <w:basedOn w:val="887"/>
    <w:link w:val="885"/>
    <w:uiPriority w:val="9"/>
    <w:rPr>
      <w:rFonts w:ascii="Arial" w:hAnsi="Arial" w:eastAsia="Arial" w:cs="Arial"/>
      <w:b/>
      <w:bCs/>
      <w:sz w:val="26"/>
      <w:szCs w:val="26"/>
    </w:rPr>
  </w:style>
  <w:style w:type="paragraph" w:styleId="720">
    <w:name w:val="Heading 5"/>
    <w:basedOn w:val="881"/>
    <w:next w:val="881"/>
    <w:link w:val="7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1">
    <w:name w:val="Heading 5 Char"/>
    <w:basedOn w:val="887"/>
    <w:link w:val="720"/>
    <w:uiPriority w:val="9"/>
    <w:rPr>
      <w:rFonts w:ascii="Arial" w:hAnsi="Arial" w:eastAsia="Arial" w:cs="Arial"/>
      <w:b/>
      <w:bCs/>
      <w:sz w:val="24"/>
      <w:szCs w:val="24"/>
    </w:rPr>
  </w:style>
  <w:style w:type="paragraph" w:styleId="722">
    <w:name w:val="Heading 6"/>
    <w:basedOn w:val="881"/>
    <w:next w:val="881"/>
    <w:link w:val="7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3">
    <w:name w:val="Heading 6 Char"/>
    <w:basedOn w:val="887"/>
    <w:link w:val="722"/>
    <w:uiPriority w:val="9"/>
    <w:rPr>
      <w:rFonts w:ascii="Arial" w:hAnsi="Arial" w:eastAsia="Arial" w:cs="Arial"/>
      <w:b/>
      <w:bCs/>
      <w:sz w:val="22"/>
      <w:szCs w:val="22"/>
    </w:rPr>
  </w:style>
  <w:style w:type="character" w:styleId="724">
    <w:name w:val="Heading 7 Char"/>
    <w:basedOn w:val="887"/>
    <w:link w:val="8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5">
    <w:name w:val="Heading 8"/>
    <w:basedOn w:val="881"/>
    <w:next w:val="881"/>
    <w:link w:val="7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6">
    <w:name w:val="Heading 8 Char"/>
    <w:basedOn w:val="887"/>
    <w:link w:val="725"/>
    <w:uiPriority w:val="9"/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881"/>
    <w:next w:val="881"/>
    <w:link w:val="7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>
    <w:name w:val="Heading 9 Char"/>
    <w:basedOn w:val="887"/>
    <w:link w:val="727"/>
    <w:uiPriority w:val="9"/>
    <w:rPr>
      <w:rFonts w:ascii="Arial" w:hAnsi="Arial" w:eastAsia="Arial" w:cs="Arial"/>
      <w:i/>
      <w:iCs/>
      <w:sz w:val="21"/>
      <w:szCs w:val="21"/>
    </w:rPr>
  </w:style>
  <w:style w:type="paragraph" w:styleId="729">
    <w:name w:val="No Spacing"/>
    <w:uiPriority w:val="1"/>
    <w:qFormat/>
    <w:pPr>
      <w:spacing w:before="0" w:after="0" w:line="240" w:lineRule="auto"/>
    </w:pPr>
  </w:style>
  <w:style w:type="paragraph" w:styleId="730">
    <w:name w:val="Title"/>
    <w:basedOn w:val="881"/>
    <w:next w:val="881"/>
    <w:link w:val="73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1">
    <w:name w:val="Title Char"/>
    <w:basedOn w:val="887"/>
    <w:link w:val="730"/>
    <w:uiPriority w:val="10"/>
    <w:rPr>
      <w:sz w:val="48"/>
      <w:szCs w:val="48"/>
    </w:rPr>
  </w:style>
  <w:style w:type="paragraph" w:styleId="732">
    <w:name w:val="Subtitle"/>
    <w:basedOn w:val="881"/>
    <w:next w:val="881"/>
    <w:link w:val="733"/>
    <w:uiPriority w:val="11"/>
    <w:qFormat/>
    <w:pPr>
      <w:spacing w:before="200" w:after="200"/>
    </w:pPr>
    <w:rPr>
      <w:sz w:val="24"/>
      <w:szCs w:val="24"/>
    </w:rPr>
  </w:style>
  <w:style w:type="character" w:styleId="733">
    <w:name w:val="Subtitle Char"/>
    <w:basedOn w:val="887"/>
    <w:link w:val="732"/>
    <w:uiPriority w:val="11"/>
    <w:rPr>
      <w:sz w:val="24"/>
      <w:szCs w:val="24"/>
    </w:rPr>
  </w:style>
  <w:style w:type="paragraph" w:styleId="734">
    <w:name w:val="Quote"/>
    <w:basedOn w:val="881"/>
    <w:next w:val="881"/>
    <w:link w:val="735"/>
    <w:uiPriority w:val="29"/>
    <w:qFormat/>
    <w:pPr>
      <w:ind w:left="720" w:right="720"/>
    </w:pPr>
    <w:rPr>
      <w:i/>
    </w:r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1"/>
    <w:next w:val="881"/>
    <w:link w:val="73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7"/>
    <w:link w:val="895"/>
    <w:uiPriority w:val="99"/>
  </w:style>
  <w:style w:type="character" w:styleId="739">
    <w:name w:val="Footer Char"/>
    <w:basedOn w:val="887"/>
    <w:link w:val="896"/>
    <w:uiPriority w:val="99"/>
  </w:style>
  <w:style w:type="character" w:styleId="740">
    <w:name w:val="Caption Char"/>
    <w:basedOn w:val="887"/>
    <w:link w:val="893"/>
    <w:uiPriority w:val="35"/>
    <w:rPr>
      <w:b/>
      <w:bCs/>
      <w:color w:val="4f81bd" w:themeColor="accent1"/>
      <w:sz w:val="18"/>
      <w:szCs w:val="18"/>
    </w:rPr>
  </w:style>
  <w:style w:type="table" w:styleId="741">
    <w:name w:val="Table Grid Light"/>
    <w:basedOn w:val="8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1"/>
    <w:basedOn w:val="8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2"/>
    <w:basedOn w:val="8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>
    <w:name w:val="Plain Table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Plain Table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7">
    <w:name w:val="Grid Table 1 Light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4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9">
    <w:name w:val="Grid Table 4 - Accent 1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0">
    <w:name w:val="Grid Table 4 - Accent 2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1">
    <w:name w:val="Grid Table 4 - Accent 3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2">
    <w:name w:val="Grid Table 4 - Accent 4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3">
    <w:name w:val="Grid Table 4 - Accent 5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4">
    <w:name w:val="Grid Table 4 - Accent 6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5">
    <w:name w:val="Grid Table 5 Dark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6">
    <w:name w:val="Grid Table 5 Dark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9">
    <w:name w:val="Grid Table 5 Dark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2">
    <w:name w:val="Grid Table 6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3">
    <w:name w:val="Grid Table 6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4">
    <w:name w:val="Grid Table 6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5">
    <w:name w:val="Grid Table 6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6">
    <w:name w:val="Grid Table 6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7">
    <w:name w:val="Grid Table 6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8">
    <w:name w:val="Grid Table 6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7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4">
    <w:name w:val="List Table 2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5">
    <w:name w:val="List Table 2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6">
    <w:name w:val="List Table 2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7">
    <w:name w:val="List Table 2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8">
    <w:name w:val="List Table 2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9">
    <w:name w:val="List Table 2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0">
    <w:name w:val="List Table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5 Dark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6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2">
    <w:name w:val="List Table 6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3">
    <w:name w:val="List Table 6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4">
    <w:name w:val="List Table 6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5">
    <w:name w:val="List Table 6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6">
    <w:name w:val="List Table 6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7">
    <w:name w:val="List Table 6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8">
    <w:name w:val="List Table 7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9">
    <w:name w:val="List Table 7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0">
    <w:name w:val="List Table 7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1">
    <w:name w:val="List Table 7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2">
    <w:name w:val="List Table 7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3">
    <w:name w:val="List Table 7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4">
    <w:name w:val="List Table 7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5">
    <w:name w:val="Lined - Accent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6">
    <w:name w:val="Lined - Accent 1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7">
    <w:name w:val="Lined - Accent 2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8">
    <w:name w:val="Lined - Accent 3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9">
    <w:name w:val="Lined - Accent 4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0">
    <w:name w:val="Lined - Accent 5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1">
    <w:name w:val="Lined - Accent 6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2">
    <w:name w:val="Bordered &amp; Lined - Accent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Bordered &amp; Lined - Accent 1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4">
    <w:name w:val="Bordered &amp; Lined - Accent 2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5">
    <w:name w:val="Bordered &amp; Lined - Accent 3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6">
    <w:name w:val="Bordered &amp; Lined - Accent 4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7">
    <w:name w:val="Bordered &amp; Lined - Accent 5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8">
    <w:name w:val="Bordered &amp; Lined - Accent 6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9">
    <w:name w:val="Bordered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0">
    <w:name w:val="Bordered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1">
    <w:name w:val="Bordered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2">
    <w:name w:val="Bordered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3">
    <w:name w:val="Bordered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4">
    <w:name w:val="Bordered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5">
    <w:name w:val="Bordered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6">
    <w:name w:val="Footnote Text Char"/>
    <w:link w:val="917"/>
    <w:uiPriority w:val="99"/>
    <w:rPr>
      <w:sz w:val="18"/>
    </w:rPr>
  </w:style>
  <w:style w:type="paragraph" w:styleId="867">
    <w:name w:val="endnote text"/>
    <w:basedOn w:val="881"/>
    <w:link w:val="868"/>
    <w:uiPriority w:val="99"/>
    <w:semiHidden/>
    <w:unhideWhenUsed/>
    <w:pPr>
      <w:spacing w:after="0" w:line="240" w:lineRule="auto"/>
    </w:pPr>
    <w:rPr>
      <w:sz w:val="20"/>
    </w:rPr>
  </w:style>
  <w:style w:type="character" w:styleId="868">
    <w:name w:val="Endnote Text Char"/>
    <w:link w:val="867"/>
    <w:uiPriority w:val="99"/>
    <w:rPr>
      <w:sz w:val="20"/>
    </w:rPr>
  </w:style>
  <w:style w:type="character" w:styleId="869">
    <w:name w:val="endnote reference"/>
    <w:basedOn w:val="887"/>
    <w:uiPriority w:val="99"/>
    <w:semiHidden/>
    <w:unhideWhenUsed/>
    <w:rPr>
      <w:vertAlign w:val="superscript"/>
    </w:rPr>
  </w:style>
  <w:style w:type="paragraph" w:styleId="870">
    <w:name w:val="toc 1"/>
    <w:basedOn w:val="881"/>
    <w:next w:val="881"/>
    <w:uiPriority w:val="39"/>
    <w:unhideWhenUsed/>
    <w:pPr>
      <w:ind w:left="0" w:right="0" w:firstLine="0"/>
      <w:spacing w:after="57"/>
    </w:pPr>
  </w:style>
  <w:style w:type="paragraph" w:styleId="871">
    <w:name w:val="toc 2"/>
    <w:basedOn w:val="881"/>
    <w:next w:val="881"/>
    <w:uiPriority w:val="39"/>
    <w:unhideWhenUsed/>
    <w:pPr>
      <w:ind w:left="283" w:right="0" w:firstLine="0"/>
      <w:spacing w:after="57"/>
    </w:pPr>
  </w:style>
  <w:style w:type="paragraph" w:styleId="872">
    <w:name w:val="toc 3"/>
    <w:basedOn w:val="881"/>
    <w:next w:val="881"/>
    <w:uiPriority w:val="39"/>
    <w:unhideWhenUsed/>
    <w:pPr>
      <w:ind w:left="567" w:right="0" w:firstLine="0"/>
      <w:spacing w:after="57"/>
    </w:pPr>
  </w:style>
  <w:style w:type="paragraph" w:styleId="873">
    <w:name w:val="toc 4"/>
    <w:basedOn w:val="881"/>
    <w:next w:val="881"/>
    <w:uiPriority w:val="39"/>
    <w:unhideWhenUsed/>
    <w:pPr>
      <w:ind w:left="850" w:right="0" w:firstLine="0"/>
      <w:spacing w:after="57"/>
    </w:pPr>
  </w:style>
  <w:style w:type="paragraph" w:styleId="874">
    <w:name w:val="toc 5"/>
    <w:basedOn w:val="881"/>
    <w:next w:val="881"/>
    <w:uiPriority w:val="39"/>
    <w:unhideWhenUsed/>
    <w:pPr>
      <w:ind w:left="1134" w:right="0" w:firstLine="0"/>
      <w:spacing w:after="57"/>
    </w:pPr>
  </w:style>
  <w:style w:type="paragraph" w:styleId="875">
    <w:name w:val="toc 6"/>
    <w:basedOn w:val="881"/>
    <w:next w:val="881"/>
    <w:uiPriority w:val="39"/>
    <w:unhideWhenUsed/>
    <w:pPr>
      <w:ind w:left="1417" w:right="0" w:firstLine="0"/>
      <w:spacing w:after="57"/>
    </w:pPr>
  </w:style>
  <w:style w:type="paragraph" w:styleId="876">
    <w:name w:val="toc 7"/>
    <w:basedOn w:val="881"/>
    <w:next w:val="881"/>
    <w:uiPriority w:val="39"/>
    <w:unhideWhenUsed/>
    <w:pPr>
      <w:ind w:left="1701" w:right="0" w:firstLine="0"/>
      <w:spacing w:after="57"/>
    </w:pPr>
  </w:style>
  <w:style w:type="paragraph" w:styleId="877">
    <w:name w:val="toc 8"/>
    <w:basedOn w:val="881"/>
    <w:next w:val="881"/>
    <w:uiPriority w:val="39"/>
    <w:unhideWhenUsed/>
    <w:pPr>
      <w:ind w:left="1984" w:right="0" w:firstLine="0"/>
      <w:spacing w:after="57"/>
    </w:pPr>
  </w:style>
  <w:style w:type="paragraph" w:styleId="878">
    <w:name w:val="toc 9"/>
    <w:basedOn w:val="881"/>
    <w:next w:val="881"/>
    <w:uiPriority w:val="39"/>
    <w:unhideWhenUsed/>
    <w:pPr>
      <w:ind w:left="2268" w:right="0" w:firstLine="0"/>
      <w:spacing w:after="57"/>
    </w:pPr>
  </w:style>
  <w:style w:type="paragraph" w:styleId="879">
    <w:name w:val="TOC Heading"/>
    <w:uiPriority w:val="39"/>
    <w:unhideWhenUsed/>
  </w:style>
  <w:style w:type="paragraph" w:styleId="880">
    <w:name w:val="table of figures"/>
    <w:basedOn w:val="881"/>
    <w:next w:val="881"/>
    <w:uiPriority w:val="99"/>
    <w:unhideWhenUsed/>
    <w:pPr>
      <w:spacing w:after="0" w:afterAutospacing="0"/>
    </w:pPr>
  </w:style>
  <w:style w:type="paragraph" w:styleId="881" w:default="1">
    <w:name w:val="Normal"/>
    <w:pPr>
      <w:widowControl w:val="off"/>
    </w:pPr>
  </w:style>
  <w:style w:type="paragraph" w:styleId="882">
    <w:name w:val="Heading 1"/>
    <w:basedOn w:val="881"/>
    <w:next w:val="881"/>
    <w:qFormat/>
    <w:pPr>
      <w:ind w:hanging="284"/>
      <w:jc w:val="center"/>
      <w:keepNext/>
      <w:outlineLvl w:val="0"/>
    </w:pPr>
    <w:rPr>
      <w:b/>
      <w:sz w:val="32"/>
    </w:rPr>
  </w:style>
  <w:style w:type="paragraph" w:styleId="883">
    <w:name w:val="Heading 2"/>
    <w:basedOn w:val="881"/>
    <w:next w:val="881"/>
    <w:qFormat/>
    <w:pPr>
      <w:keepNext/>
      <w:outlineLvl w:val="1"/>
    </w:pPr>
    <w:rPr>
      <w:sz w:val="26"/>
    </w:rPr>
  </w:style>
  <w:style w:type="paragraph" w:styleId="884">
    <w:name w:val="Heading 3"/>
    <w:basedOn w:val="881"/>
    <w:next w:val="881"/>
    <w:qFormat/>
    <w:pPr>
      <w:jc w:val="right"/>
      <w:keepNext/>
      <w:outlineLvl w:val="2"/>
    </w:pPr>
    <w:rPr>
      <w:rFonts w:ascii="Arial Narrow" w:hAnsi="Arial Narrow"/>
      <w:b/>
      <w:bCs/>
      <w:color w:val="008000"/>
      <w:sz w:val="28"/>
    </w:rPr>
  </w:style>
  <w:style w:type="paragraph" w:styleId="885">
    <w:name w:val="Heading 4"/>
    <w:basedOn w:val="881"/>
    <w:next w:val="881"/>
    <w:qFormat/>
    <w:pPr>
      <w:keepNext/>
      <w:outlineLvl w:val="3"/>
    </w:pPr>
    <w:rPr>
      <w:sz w:val="24"/>
    </w:rPr>
  </w:style>
  <w:style w:type="paragraph" w:styleId="886">
    <w:name w:val="Heading 7"/>
    <w:basedOn w:val="881"/>
    <w:next w:val="881"/>
    <w:qFormat/>
    <w:pPr>
      <w:spacing w:before="240" w:after="60"/>
      <w:outlineLvl w:val="6"/>
    </w:pPr>
    <w:rPr>
      <w:sz w:val="24"/>
      <w:szCs w:val="24"/>
    </w:rPr>
  </w:style>
  <w:style w:type="character" w:styleId="887" w:default="1">
    <w:name w:val="Default Paragraph Font"/>
    <w:uiPriority w:val="1"/>
    <w:unhideWhenUsed/>
  </w:style>
  <w:style w:type="table" w:styleId="8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9" w:default="1">
    <w:name w:val="No List"/>
    <w:uiPriority w:val="99"/>
    <w:semiHidden/>
    <w:unhideWhenUsed/>
  </w:style>
  <w:style w:type="paragraph" w:styleId="890" w:customStyle="1">
    <w:name w:val="заголовок 1"/>
    <w:basedOn w:val="881"/>
    <w:next w:val="881"/>
    <w:pPr>
      <w:jc w:val="both"/>
      <w:keepNext/>
    </w:pPr>
    <w:rPr>
      <w:sz w:val="24"/>
    </w:rPr>
  </w:style>
  <w:style w:type="character" w:styleId="891" w:customStyle="1">
    <w:name w:val="Основной шрифт"/>
  </w:style>
  <w:style w:type="paragraph" w:styleId="892">
    <w:name w:val="Body Text 2"/>
    <w:basedOn w:val="881"/>
    <w:pPr>
      <w:ind w:firstLine="709"/>
      <w:jc w:val="both"/>
    </w:pPr>
    <w:rPr>
      <w:sz w:val="24"/>
    </w:rPr>
  </w:style>
  <w:style w:type="paragraph" w:styleId="893">
    <w:name w:val="Caption"/>
    <w:basedOn w:val="881"/>
    <w:next w:val="881"/>
    <w:link w:val="740"/>
    <w:qFormat/>
    <w:pPr>
      <w:jc w:val="center"/>
    </w:pPr>
    <w:rPr>
      <w:sz w:val="28"/>
    </w:rPr>
  </w:style>
  <w:style w:type="paragraph" w:styleId="894">
    <w:name w:val="Body Text Indent"/>
    <w:basedOn w:val="881"/>
    <w:pPr>
      <w:ind w:left="283"/>
      <w:spacing w:after="120"/>
    </w:pPr>
  </w:style>
  <w:style w:type="paragraph" w:styleId="895">
    <w:name w:val="Header"/>
    <w:basedOn w:val="881"/>
    <w:link w:val="912"/>
    <w:uiPriority w:val="99"/>
    <w:pPr>
      <w:tabs>
        <w:tab w:val="center" w:pos="4677" w:leader="none"/>
        <w:tab w:val="right" w:pos="9355" w:leader="none"/>
      </w:tabs>
    </w:pPr>
  </w:style>
  <w:style w:type="paragraph" w:styleId="896">
    <w:name w:val="Footer"/>
    <w:basedOn w:val="881"/>
    <w:link w:val="911"/>
    <w:uiPriority w:val="99"/>
    <w:pPr>
      <w:tabs>
        <w:tab w:val="center" w:pos="4677" w:leader="none"/>
        <w:tab w:val="right" w:pos="9355" w:leader="none"/>
      </w:tabs>
    </w:pPr>
  </w:style>
  <w:style w:type="paragraph" w:styleId="897">
    <w:name w:val="Body Text"/>
    <w:basedOn w:val="881"/>
    <w:link w:val="913"/>
    <w:pPr>
      <w:spacing w:after="120"/>
    </w:pPr>
  </w:style>
  <w:style w:type="table" w:styleId="898">
    <w:name w:val="Table Grid"/>
    <w:basedOn w:val="888"/>
    <w:pPr>
      <w:widowControl w:val="off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99">
    <w:name w:val="page number"/>
    <w:basedOn w:val="887"/>
  </w:style>
  <w:style w:type="paragraph" w:styleId="900">
    <w:name w:val="Body Text Indent 2"/>
    <w:basedOn w:val="881"/>
    <w:pPr>
      <w:ind w:left="283"/>
      <w:spacing w:after="120" w:line="480" w:lineRule="auto"/>
    </w:pPr>
  </w:style>
  <w:style w:type="paragraph" w:styleId="901" w:customStyle="1">
    <w:name w:val="ConsPlusTitle"/>
    <w:pPr>
      <w:widowControl w:val="off"/>
    </w:pPr>
    <w:rPr>
      <w:b/>
      <w:bCs/>
      <w:sz w:val="24"/>
      <w:szCs w:val="24"/>
    </w:rPr>
  </w:style>
  <w:style w:type="paragraph" w:styleId="902" w:customStyle="1">
    <w:name w:val="Таблица ячейка"/>
    <w:basedOn w:val="897"/>
    <w:pPr>
      <w:spacing w:before="120"/>
      <w:widowControl/>
    </w:pPr>
    <w:rPr>
      <w:sz w:val="22"/>
      <w:szCs w:val="22"/>
    </w:rPr>
  </w:style>
  <w:style w:type="paragraph" w:styleId="903" w:customStyle="1">
    <w:name w:val="Знак Знак Знак Знак Знак Знак Знак Знак1 Знак Знак Знак1 Знак Знак Знак Знак"/>
    <w:basedOn w:val="881"/>
    <w:pPr>
      <w:spacing w:before="100" w:beforeAutospacing="1" w:after="100" w:afterAutospacing="1"/>
      <w:widowControl/>
    </w:pPr>
    <w:rPr>
      <w:rFonts w:ascii="Tahoma" w:hAnsi="Tahoma"/>
      <w:lang w:val="en-US" w:eastAsia="en-US"/>
    </w:rPr>
  </w:style>
  <w:style w:type="character" w:styleId="904">
    <w:name w:val="Hyperlink"/>
    <w:basedOn w:val="887"/>
    <w:uiPriority w:val="99"/>
    <w:rPr>
      <w:color w:val="0000ff"/>
      <w:u w:val="single"/>
    </w:rPr>
  </w:style>
  <w:style w:type="character" w:styleId="905" w:customStyle="1">
    <w:name w:val="Font Style13"/>
    <w:basedOn w:val="887"/>
    <w:rPr>
      <w:rFonts w:ascii="Times New Roman" w:hAnsi="Times New Roman" w:cs="Times New Roman"/>
      <w:sz w:val="26"/>
      <w:szCs w:val="26"/>
    </w:rPr>
  </w:style>
  <w:style w:type="paragraph" w:styleId="906" w:customStyle="1">
    <w:name w:val="ConsPlusNormal"/>
    <w:rPr>
      <w:rFonts w:ascii="Arial" w:hAnsi="Arial" w:cs="Arial"/>
    </w:rPr>
  </w:style>
  <w:style w:type="paragraph" w:styleId="907" w:customStyle="1">
    <w:name w:val="Обычный1"/>
    <w:pPr>
      <w:widowControl w:val="off"/>
    </w:pPr>
  </w:style>
  <w:style w:type="paragraph" w:styleId="908" w:customStyle="1">
    <w:name w:val="Обычный2"/>
    <w:pPr>
      <w:widowControl w:val="off"/>
    </w:pPr>
  </w:style>
  <w:style w:type="paragraph" w:styleId="909">
    <w:name w:val="Balloon Text"/>
    <w:basedOn w:val="881"/>
    <w:link w:val="910"/>
    <w:rPr>
      <w:rFonts w:ascii="Tahoma" w:hAnsi="Tahoma" w:cs="Tahoma"/>
      <w:sz w:val="16"/>
      <w:szCs w:val="16"/>
    </w:rPr>
  </w:style>
  <w:style w:type="character" w:styleId="910" w:customStyle="1">
    <w:name w:val="Текст выноски Знак"/>
    <w:basedOn w:val="887"/>
    <w:link w:val="909"/>
    <w:rPr>
      <w:rFonts w:ascii="Tahoma" w:hAnsi="Tahoma" w:cs="Tahoma"/>
      <w:sz w:val="16"/>
      <w:szCs w:val="16"/>
    </w:rPr>
  </w:style>
  <w:style w:type="character" w:styleId="911" w:customStyle="1">
    <w:name w:val="Нижний колонтитул Знак"/>
    <w:basedOn w:val="887"/>
    <w:link w:val="896"/>
    <w:uiPriority w:val="99"/>
  </w:style>
  <w:style w:type="character" w:styleId="912" w:customStyle="1">
    <w:name w:val="Верхний колонтитул Знак"/>
    <w:basedOn w:val="887"/>
    <w:link w:val="895"/>
    <w:uiPriority w:val="99"/>
  </w:style>
  <w:style w:type="character" w:styleId="913" w:customStyle="1">
    <w:name w:val="Основной текст Знак"/>
    <w:basedOn w:val="887"/>
    <w:link w:val="897"/>
  </w:style>
  <w:style w:type="character" w:styleId="914">
    <w:name w:val="Strong"/>
    <w:basedOn w:val="887"/>
    <w:uiPriority w:val="22"/>
    <w:qFormat/>
    <w:rPr>
      <w:b/>
      <w:bCs/>
    </w:rPr>
  </w:style>
  <w:style w:type="character" w:styleId="915">
    <w:name w:val="FollowedHyperlink"/>
    <w:basedOn w:val="887"/>
    <w:semiHidden/>
    <w:unhideWhenUsed/>
    <w:rPr>
      <w:color w:val="800080" w:themeColor="followedHyperlink"/>
      <w:u w:val="single"/>
    </w:rPr>
  </w:style>
  <w:style w:type="paragraph" w:styleId="916">
    <w:name w:val="List Paragraph"/>
    <w:basedOn w:val="881"/>
    <w:uiPriority w:val="34"/>
    <w:qFormat/>
    <w:pPr>
      <w:contextualSpacing/>
      <w:ind w:left="720"/>
    </w:pPr>
  </w:style>
  <w:style w:type="paragraph" w:styleId="917">
    <w:name w:val="footnote text"/>
    <w:basedOn w:val="881"/>
    <w:link w:val="918"/>
    <w:uiPriority w:val="99"/>
    <w:unhideWhenUsed/>
    <w:pPr>
      <w:widowControl/>
    </w:pPr>
    <w:rPr>
      <w:rFonts w:ascii="Calibri" w:hAnsi="Calibri" w:eastAsia="Calibri"/>
      <w:lang w:eastAsia="en-US"/>
    </w:rPr>
  </w:style>
  <w:style w:type="character" w:styleId="918" w:customStyle="1">
    <w:name w:val="Текст сноски Знак"/>
    <w:basedOn w:val="887"/>
    <w:link w:val="917"/>
    <w:uiPriority w:val="99"/>
    <w:rPr>
      <w:rFonts w:ascii="Calibri" w:hAnsi="Calibri" w:eastAsia="Calibri"/>
      <w:lang w:eastAsia="en-US"/>
    </w:rPr>
  </w:style>
  <w:style w:type="character" w:styleId="919">
    <w:name w:val="footnote reference"/>
    <w:uiPriority w:val="99"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hyperlink" Target="https://tumen.roskazna.gov.ru/uploads/%D0%94%D0%BE%D0%BA%D1%83%D0%BC%D0%B5%D0%BD%D1%82%D1%8B/Prezentacia_po_otkrytiyu_litsevogo_scheta_41_FB_272_02_07_2024_ver1_.pptx" TargetMode="External"/><Relationship Id="rId14" Type="http://schemas.openxmlformats.org/officeDocument/2006/relationships/hyperlink" Target="http://roskazna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593C1A-7221-4125-8194-E91D101FC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Elcom Ltd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Распопов К.А.</dc:creator>
  <cp:lastModifiedBy>Аноним</cp:lastModifiedBy>
  <cp:revision>12</cp:revision>
  <dcterms:created xsi:type="dcterms:W3CDTF">2026-02-04T09:11:00Z</dcterms:created>
  <dcterms:modified xsi:type="dcterms:W3CDTF">2026-02-06T05:31:21Z</dcterms:modified>
</cp:coreProperties>
</file>